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center"/>
        <w:tblLayout w:type="fixed"/>
        <w:tblLook w:val="0000"/>
      </w:tblPr>
      <w:tblGrid>
        <w:gridCol w:w="6180"/>
        <w:gridCol w:w="750"/>
        <w:gridCol w:w="2460"/>
        <w:tblGridChange w:id="0">
          <w:tblGrid>
            <w:gridCol w:w="6180"/>
            <w:gridCol w:w="750"/>
            <w:gridCol w:w="2460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Кому: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УВЕДОМЛЕНИЕ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Исх. № [№] от [Дата]</w:t>
      </w:r>
    </w:p>
    <w:p w:rsidR="00000000" w:rsidDel="00000000" w:rsidP="00000000" w:rsidRDefault="00000000" w:rsidRPr="00000000" w14:paraId="0000000A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Уважаемый(ая) __________________________!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на основании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[указать основание]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осуществляет функции управления многоквартирным домом, по адресу: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 [адрес МКД].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Вы являетесь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[собственником/нанимателем] [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жилого / нежилого] помещения номер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[номер помещения]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в указанном многоквартирном доме.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 соответствии со статьей 153 Жилищного кодекса Российской Федерации (далее по тексту - ЖК РФ) граждане и организации обязаны своевременно и полностью вносить плату за жилое помещение и коммунальные услуги. В соответствии со статьей 155 ЖК РФ плату необходимо вносить ежемесячно до десятого числа месяца, следующего за истекшим месяцем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i w:val="1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По состоянию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задолженность по оплате за жилое помещение и  коммунальные услуги составляет в общей сумме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[сумма цифрами и прописью]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за период с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 начала образования задолженности] 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 окончания периода задолженности].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b w:val="1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72f"/>
          <w:rtl w:val="0"/>
        </w:rPr>
        <w:t xml:space="preserve">Напоминаем Вам о необходимости своевременного внесения платы за жилое помещение и коммунальные услуги. 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невозможности единовременной оплаты задолженности, Вы можете также обратиться 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[Наименование организации] по адресу: [адрес], в рабочее время [указать расписание работы], контактный телефон: [номер телефона], адрес электронной почты [e-mail]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 предложением о заключении соглашения о реструктуризации долга.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 случае неуплаты задолженности в добровольном порядке, задолженность может быть взыскана в судебном порядке, при этом на должника также будут возложены расходы по уплате государственной пошлины.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color w:val="0e0e0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Дополнительно сообщаем, что соответствии с пунктами 117 - 122 Правил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highlight w:val="white"/>
          <w:rtl w:val="0"/>
        </w:rPr>
        <w:t xml:space="preserve">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06.05.2011 № 354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в случае неполной оплаты коммунальных услуг исполнитель вправе после письменного предупреждения (уведомления) ограничить или приостановить предоставление коммунальной услуги.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color w:val="0e0e0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rtl w:val="0"/>
        </w:rPr>
        <w:t xml:space="preserve">С уважением,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Ф. И. О.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3259.84251968503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82f"/>
          <w:rtl w:val="0"/>
        </w:rPr>
        <w:t xml:space="preserve">подпись, МП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]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указать иной срок, если он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[ФИРМЕННЫЙ БЛАНК ОРГАНИЗАЦИИ]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